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山东东岳专用汽车制造有限公司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济宁高新区同济路126号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贾万新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贾万新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贾万新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2023.07.07-7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1370" cy="1069340"/>
                              <wp:effectExtent l="0" t="0" r="17780" b="16510"/>
                              <wp:docPr id="2" name="图片 2" descr="e8057471c903f5a902410e355bb33e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8057471c903f5a902410e355bb33e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1370" cy="1069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5185" cy="1127125"/>
                              <wp:effectExtent l="0" t="0" r="12065" b="15875"/>
                              <wp:docPr id="4" name="图片 4" descr="724d16cd4b69783cb31e8973075a96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724d16cd4b69783cb31e8973075a96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5185" cy="11271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2970" cy="677545"/>
                              <wp:effectExtent l="0" t="0" r="11430" b="8255"/>
                              <wp:docPr id="3" name="图片 3" descr="d736948f375782a4ba984abe86bba9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736948f375782a4ba984abe86bba9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2970" cy="6775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2023-12-05T09:05:28Z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